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33075" w14:textId="2AA4CF9D" w:rsidR="00274156" w:rsidRPr="00274156" w:rsidRDefault="00274156" w:rsidP="00420B79">
      <w:pPr>
        <w:pStyle w:val="Kop1"/>
      </w:pPr>
      <w:r>
        <w:t>Voorstel modules Bedrijven</w:t>
      </w:r>
      <w:r w:rsidR="00420B79">
        <w:t xml:space="preserve"> (korte beschrijvingen)</w:t>
      </w:r>
      <w:r>
        <w:t>:</w:t>
      </w:r>
    </w:p>
    <w:p w14:paraId="2EA98297" w14:textId="77777777" w:rsidR="00274156" w:rsidRDefault="00274156" w:rsidP="00420B79">
      <w:pPr>
        <w:pStyle w:val="Lijstalinea"/>
        <w:spacing w:line="276" w:lineRule="auto"/>
        <w:ind w:left="720" w:firstLine="0"/>
        <w:contextualSpacing w:val="0"/>
        <w:rPr>
          <w:rFonts w:asciiTheme="minorHAnsi" w:hAnsiTheme="minorHAnsi" w:cstheme="minorHAnsi"/>
          <w:sz w:val="24"/>
          <w:szCs w:val="24"/>
        </w:rPr>
      </w:pPr>
    </w:p>
    <w:p w14:paraId="11B2E9CA" w14:textId="008B1D48" w:rsidR="00420B79" w:rsidRPr="00420B79" w:rsidRDefault="00274156" w:rsidP="00420B79">
      <w:pPr>
        <w:pStyle w:val="Kop2"/>
      </w:pPr>
      <w:r w:rsidRPr="00420B79">
        <w:t>Green deals opzetten:</w:t>
      </w:r>
      <w:r w:rsidR="00E90657">
        <w:t xml:space="preserve"> </w:t>
      </w:r>
    </w:p>
    <w:p w14:paraId="57441A23" w14:textId="10D9E1AA" w:rsidR="00274156" w:rsidRPr="00E90657" w:rsidRDefault="00274156" w:rsidP="00420B79">
      <w:pPr>
        <w:spacing w:after="0" w:line="276" w:lineRule="auto"/>
        <w:rPr>
          <w:rFonts w:cstheme="minorHAnsi"/>
          <w:b/>
          <w:bCs/>
          <w:sz w:val="24"/>
          <w:szCs w:val="24"/>
        </w:rPr>
      </w:pPr>
      <w:r w:rsidRPr="00E90657">
        <w:rPr>
          <w:rFonts w:cstheme="minorHAnsi"/>
          <w:b/>
          <w:bCs/>
          <w:sz w:val="24"/>
          <w:szCs w:val="24"/>
        </w:rPr>
        <w:t>Door heldere onderlinge afspraken kunnen overheden en bedrijven werken aan concrete resultaten, waarbij iedere betrokken partij zijn eigen verantwoordelijkheid heeft.</w:t>
      </w:r>
    </w:p>
    <w:p w14:paraId="76E489C9" w14:textId="55F2ADC5" w:rsidR="00420B79" w:rsidRDefault="00E90657" w:rsidP="00E90657">
      <w:pPr>
        <w:spacing w:line="276" w:lineRule="auto"/>
        <w:rPr>
          <w:rFonts w:cstheme="minorHAnsi"/>
          <w:sz w:val="24"/>
          <w:szCs w:val="24"/>
        </w:rPr>
      </w:pPr>
      <w:r w:rsidRPr="00E90657">
        <w:rPr>
          <w:rFonts w:cstheme="minorHAnsi"/>
          <w:sz w:val="24"/>
          <w:szCs w:val="24"/>
        </w:rPr>
        <w:t>In 2011 is de Green</w:t>
      </w:r>
      <w:r w:rsidR="00B31480">
        <w:rPr>
          <w:rFonts w:cstheme="minorHAnsi"/>
          <w:sz w:val="24"/>
          <w:szCs w:val="24"/>
        </w:rPr>
        <w:t>d</w:t>
      </w:r>
      <w:r w:rsidRPr="00E90657">
        <w:rPr>
          <w:rFonts w:cstheme="minorHAnsi"/>
          <w:sz w:val="24"/>
          <w:szCs w:val="24"/>
        </w:rPr>
        <w:t xml:space="preserve">eal-aanpak begonnen. Met deze interactieve werkwijze wil de overheid vernieuwende, duurzame initiatieven uit de samenleving de ruimte geven. Dit doet zij door knelpunten in de wet- en regelgeving weg te nemen, nieuwe markten te creëren, goede informatie te geven en te zorgen voor optimale samenwerkingsverbanden. Door heldere onderlinge afspraken kunnen deelnemers werken aan concrete resultaten, waarbij iedere betrokken partij zijn eigen verantwoordelijkheid heeft. </w:t>
      </w:r>
      <w:r w:rsidR="00B31480" w:rsidRPr="00E90657">
        <w:rPr>
          <w:rFonts w:cstheme="minorHAnsi"/>
          <w:sz w:val="24"/>
          <w:szCs w:val="24"/>
        </w:rPr>
        <w:t>Hierover tekenen de partijen een overeenkomst</w:t>
      </w:r>
      <w:r w:rsidR="00B31480">
        <w:rPr>
          <w:rFonts w:cstheme="minorHAnsi"/>
          <w:sz w:val="24"/>
          <w:szCs w:val="24"/>
        </w:rPr>
        <w:t xml:space="preserve"> – de Greendeal</w:t>
      </w:r>
      <w:r w:rsidR="00B31480" w:rsidRPr="00E90657">
        <w:rPr>
          <w:rFonts w:cstheme="minorHAnsi"/>
          <w:sz w:val="24"/>
          <w:szCs w:val="24"/>
        </w:rPr>
        <w:t xml:space="preserve">. </w:t>
      </w:r>
      <w:r w:rsidRPr="00E90657">
        <w:rPr>
          <w:rFonts w:cstheme="minorHAnsi"/>
          <w:sz w:val="24"/>
          <w:szCs w:val="24"/>
        </w:rPr>
        <w:t>Sinds de start zijn meer dan 200 Green</w:t>
      </w:r>
      <w:r w:rsidR="00B31480">
        <w:rPr>
          <w:rFonts w:cstheme="minorHAnsi"/>
          <w:sz w:val="24"/>
          <w:szCs w:val="24"/>
        </w:rPr>
        <w:t>d</w:t>
      </w:r>
      <w:r w:rsidRPr="00E90657">
        <w:rPr>
          <w:rFonts w:cstheme="minorHAnsi"/>
          <w:sz w:val="24"/>
          <w:szCs w:val="24"/>
        </w:rPr>
        <w:t>eals getekend.</w:t>
      </w:r>
    </w:p>
    <w:p w14:paraId="3D99A5AB" w14:textId="5E447549" w:rsidR="00E90657" w:rsidRPr="00E90657" w:rsidRDefault="00E90657" w:rsidP="00E90657">
      <w:pPr>
        <w:spacing w:line="276" w:lineRule="auto"/>
        <w:rPr>
          <w:rFonts w:cstheme="minorHAnsi"/>
          <w:sz w:val="24"/>
          <w:szCs w:val="24"/>
        </w:rPr>
      </w:pPr>
      <w:r w:rsidRPr="00E90657">
        <w:rPr>
          <w:rFonts w:cstheme="minorHAnsi"/>
          <w:sz w:val="24"/>
          <w:szCs w:val="24"/>
        </w:rPr>
        <w:t>Greendeals zijn ook een instrument om de energietransitie te bevorderen. Zo zijn er al greendeals voor de ontwikkeling Decentrale Duurzame Warmte- en Koudetechnieken, voor de ontwikkeling Expertisecentrum voor Biomassavergassing in Alkmaar, de Energie Prestatie Keuring (EPK), etc. Het is nog niet duidelijk welke bestaande greendeals dekking hebben of uitgebreid zouden kunnen worden naar deelnemers in de MRE. Het doel van de huidige opdracht beschrijving is om een groep studenten onderzoek te laten doen naar de mogelijkheden van Green</w:t>
      </w:r>
      <w:r w:rsidR="00B31480">
        <w:rPr>
          <w:rFonts w:cstheme="minorHAnsi"/>
          <w:sz w:val="24"/>
          <w:szCs w:val="24"/>
        </w:rPr>
        <w:t>d</w:t>
      </w:r>
      <w:r w:rsidRPr="00E90657">
        <w:rPr>
          <w:rFonts w:cstheme="minorHAnsi"/>
          <w:sz w:val="24"/>
          <w:szCs w:val="24"/>
        </w:rPr>
        <w:t>eals met bedrijven en instellingen in de MRE.</w:t>
      </w:r>
    </w:p>
    <w:p w14:paraId="67EF4356" w14:textId="702D4983" w:rsidR="00E90657" w:rsidRPr="00E90657" w:rsidRDefault="00471C80" w:rsidP="00E90657">
      <w:pPr>
        <w:spacing w:line="276" w:lineRule="auto"/>
        <w:rPr>
          <w:rFonts w:cstheme="minorHAnsi"/>
          <w:sz w:val="24"/>
          <w:szCs w:val="24"/>
        </w:rPr>
      </w:pPr>
      <w:r>
        <w:rPr>
          <w:rFonts w:cstheme="minorHAnsi"/>
          <w:sz w:val="24"/>
          <w:szCs w:val="24"/>
        </w:rPr>
        <w:t>Resultaat</w:t>
      </w:r>
      <w:r w:rsidR="00852806">
        <w:rPr>
          <w:rFonts w:cstheme="minorHAnsi"/>
          <w:sz w:val="24"/>
          <w:szCs w:val="24"/>
        </w:rPr>
        <w:t xml:space="preserve"> module: binnen de MRE worden </w:t>
      </w:r>
      <w:r>
        <w:rPr>
          <w:rFonts w:cstheme="minorHAnsi"/>
          <w:sz w:val="24"/>
          <w:szCs w:val="24"/>
        </w:rPr>
        <w:t>tenminste X</w:t>
      </w:r>
      <w:r w:rsidR="00852806">
        <w:rPr>
          <w:rFonts w:cstheme="minorHAnsi"/>
          <w:sz w:val="24"/>
          <w:szCs w:val="24"/>
        </w:rPr>
        <w:t xml:space="preserve"> Greendeals gesloten tussen overheden en groepen bedrijven ter versnelling van de energietransitie. </w:t>
      </w:r>
      <w:r w:rsidR="00E90657" w:rsidRPr="00E90657">
        <w:rPr>
          <w:rFonts w:cstheme="minorHAnsi"/>
          <w:sz w:val="24"/>
          <w:szCs w:val="24"/>
        </w:rPr>
        <w:t xml:space="preserve">Bedrijven die zichzelf binden aan een versnelde invoering van energiebesparende maatregelen of duurzame energie, of verdergaande maatregelen dan wettelijk vereist, </w:t>
      </w:r>
      <w:r w:rsidR="00852806">
        <w:rPr>
          <w:rFonts w:cstheme="minorHAnsi"/>
          <w:sz w:val="24"/>
          <w:szCs w:val="24"/>
        </w:rPr>
        <w:t>maken</w:t>
      </w:r>
      <w:r w:rsidR="00E90657" w:rsidRPr="00E90657">
        <w:rPr>
          <w:rFonts w:cstheme="minorHAnsi"/>
          <w:sz w:val="24"/>
          <w:szCs w:val="24"/>
        </w:rPr>
        <w:t xml:space="preserve"> met hun bevoegde gezagen afspraken kunnen maken over </w:t>
      </w:r>
      <w:r w:rsidR="00852806">
        <w:rPr>
          <w:rFonts w:cstheme="minorHAnsi"/>
          <w:sz w:val="24"/>
          <w:szCs w:val="24"/>
        </w:rPr>
        <w:t>een gezamenlijke aanpak, met bijvoorbeeld coulance op gebied van handhaving of extra stimuleringsmaatregelen als onderdeel</w:t>
      </w:r>
      <w:r w:rsidR="00E90657" w:rsidRPr="00E90657">
        <w:rPr>
          <w:rFonts w:cstheme="minorHAnsi"/>
          <w:sz w:val="24"/>
          <w:szCs w:val="24"/>
        </w:rPr>
        <w:t>. Daar worden dan dus Green</w:t>
      </w:r>
      <w:r w:rsidR="00852806">
        <w:rPr>
          <w:rFonts w:cstheme="minorHAnsi"/>
          <w:sz w:val="24"/>
          <w:szCs w:val="24"/>
        </w:rPr>
        <w:t>d</w:t>
      </w:r>
      <w:r w:rsidR="00E90657" w:rsidRPr="00E90657">
        <w:rPr>
          <w:rFonts w:cstheme="minorHAnsi"/>
          <w:sz w:val="24"/>
          <w:szCs w:val="24"/>
        </w:rPr>
        <w:t xml:space="preserve">eals over gesloten met groepen bedrijven. De bedrijven kunnen </w:t>
      </w:r>
      <w:proofErr w:type="spellStart"/>
      <w:r w:rsidR="00E90657" w:rsidRPr="00E90657">
        <w:rPr>
          <w:rFonts w:cstheme="minorHAnsi"/>
          <w:sz w:val="24"/>
          <w:szCs w:val="24"/>
        </w:rPr>
        <w:t>branchegewijs</w:t>
      </w:r>
      <w:proofErr w:type="spellEnd"/>
      <w:r w:rsidR="00E90657" w:rsidRPr="00E90657">
        <w:rPr>
          <w:rFonts w:cstheme="minorHAnsi"/>
          <w:sz w:val="24"/>
          <w:szCs w:val="24"/>
        </w:rPr>
        <w:t xml:space="preserve"> gegroepeerd zijn (bijv. detailhandel) of ruimtelijk (bijv. per bedrijventerrein).</w:t>
      </w:r>
    </w:p>
    <w:p w14:paraId="5E61A48D" w14:textId="77777777" w:rsidR="00420B79" w:rsidRDefault="00274156" w:rsidP="00420B79">
      <w:pPr>
        <w:pStyle w:val="Kop2"/>
        <w:rPr>
          <w:b/>
          <w:bCs/>
        </w:rPr>
      </w:pPr>
      <w:r w:rsidRPr="00420B79">
        <w:rPr>
          <w:b/>
          <w:bCs/>
        </w:rPr>
        <w:t>Aanpak energielabel C kantoren:</w:t>
      </w:r>
    </w:p>
    <w:p w14:paraId="6AABA813" w14:textId="69706FD8" w:rsidR="00274156" w:rsidRDefault="00274156" w:rsidP="00420B79">
      <w:pPr>
        <w:rPr>
          <w:b/>
          <w:bCs/>
        </w:rPr>
      </w:pPr>
      <w:r w:rsidRPr="00534EBA">
        <w:rPr>
          <w:b/>
          <w:bCs/>
        </w:rPr>
        <w:t>Het gaat hier om het gezamenlijk opzetten van een communicatieaanpak om kantooreigenaren en -gebruikers aan te sporen om voor 2023 hun kantoren naar minimaal label C te brengen.</w:t>
      </w:r>
    </w:p>
    <w:p w14:paraId="4F35F8D4" w14:textId="4CBD6C4B" w:rsidR="00471C80" w:rsidRPr="00471C80" w:rsidRDefault="00471C80" w:rsidP="00471C80">
      <w:r w:rsidRPr="00471C80">
        <w:t>Met uitzondering van monumentale kantoren en kantoren die binnen twee jaar worden gesloopt, getransformeerd of onteigend, moeten alle Nederlandse kantoren vanaf 2023 over een geregistreerd energielabel C of beter beschikken. Dit zijn alle kantoren met een gebruiksoppervlakte (GBO) van minimaal 100m² (inclusief nevenfuncties) en met een minimale kantooroppervlakte van 50% van de totale gebruiksoppervlakte van het gebouw (exclusief nevenfuncties). Kantoren waarvoor de terugverdientijd van de voor energielabel C benodigde maatregelen meer dan tien jaar is, kunnen volstaan met maatregelen met een terugverdientijd tot en met tien jaar, met bijbehorend energielabel (zogenaamde hardheidsclausule)</w:t>
      </w:r>
      <w:r w:rsidR="00273F60">
        <w:t>.</w:t>
      </w:r>
      <w:r w:rsidR="00273F60" w:rsidRPr="00273F60">
        <w:t xml:space="preserve"> </w:t>
      </w:r>
      <w:r w:rsidR="00273F60" w:rsidRPr="00471C80">
        <w:t xml:space="preserve">Op dit moment voldoet 66% van de kantoren nog niet aan de eis voor label C. </w:t>
      </w:r>
      <w:r w:rsidR="00AD4378" w:rsidRPr="00AD4378">
        <w:t xml:space="preserve">Als kantoren niet voldoen kunnen zij vanaf 2023 gesloten worden. Dit besef is </w:t>
      </w:r>
      <w:r w:rsidR="00AD4378" w:rsidRPr="00AD4378">
        <w:lastRenderedPageBreak/>
        <w:t xml:space="preserve">echter nog niet doorgedrongen tot de meeste kantooreigenaren. Wij willen daarom een communicatiecampagne starten om dit onder de aandacht te brengen. Ingezet wordt op bewustwording van de wettelijke verplichtingen, wat de gevolgen zijn als hieraan niet voldaan wordt en wat daarnaast de meerwaarde is om een energiezuinig kantoor te hebben. </w:t>
      </w:r>
    </w:p>
    <w:p w14:paraId="0C56D44C" w14:textId="5F6A4318" w:rsidR="00471C80" w:rsidRPr="00471C80" w:rsidRDefault="00471C80" w:rsidP="00471C80">
      <w:r>
        <w:t>Result</w:t>
      </w:r>
      <w:r w:rsidRPr="00471C80">
        <w:t>aat</w:t>
      </w:r>
      <w:r>
        <w:t xml:space="preserve"> module: </w:t>
      </w:r>
      <w:r w:rsidRPr="00471C80">
        <w:t xml:space="preserve">Met deze aanpak willen we </w:t>
      </w:r>
      <w:r w:rsidR="00273F60">
        <w:t>het percentage kantoren wat nog niet voldoet aan de Label-C verplichting vooruitlopend op wetgeving</w:t>
      </w:r>
      <w:r w:rsidRPr="00471C80">
        <w:t xml:space="preserve"> terugbrengen naar 20%.</w:t>
      </w:r>
      <w:r w:rsidR="00273F60">
        <w:t xml:space="preserve"> Dit zou kunnen via een Greendeal. </w:t>
      </w:r>
    </w:p>
    <w:p w14:paraId="461DBD35" w14:textId="77777777" w:rsidR="00420B79" w:rsidRDefault="00274156" w:rsidP="00420B79">
      <w:pPr>
        <w:pStyle w:val="Kop2"/>
        <w:rPr>
          <w:b/>
          <w:bCs/>
        </w:rPr>
      </w:pPr>
      <w:r w:rsidRPr="00420B79">
        <w:rPr>
          <w:b/>
          <w:bCs/>
        </w:rPr>
        <w:t>Gebiedsgerichte aanpak VNO-NCW:</w:t>
      </w:r>
    </w:p>
    <w:p w14:paraId="565BC84D" w14:textId="1B0C8CBC" w:rsidR="00274156" w:rsidRDefault="00274156" w:rsidP="00420B79">
      <w:pPr>
        <w:rPr>
          <w:b/>
          <w:bCs/>
        </w:rPr>
      </w:pPr>
      <w:r w:rsidRPr="00F66799">
        <w:rPr>
          <w:b/>
          <w:bCs/>
        </w:rPr>
        <w:t xml:space="preserve">VNO-NCW heeft samen met </w:t>
      </w:r>
      <w:proofErr w:type="spellStart"/>
      <w:r w:rsidRPr="00F66799">
        <w:rPr>
          <w:b/>
          <w:bCs/>
        </w:rPr>
        <w:t>Ondernemerskontakt</w:t>
      </w:r>
      <w:proofErr w:type="spellEnd"/>
      <w:r w:rsidRPr="00F66799">
        <w:rPr>
          <w:b/>
          <w:bCs/>
        </w:rPr>
        <w:t xml:space="preserve"> De Hurk, Stichting Bedrijventerreinen Helmond, Kempisch Ondernemersplatform en het Innovatiehuis de Peel een aanpak gedefinieerd voor de verduurzaming van bedrijventerreinen in de Metropoolregio Eindhoven.</w:t>
      </w:r>
    </w:p>
    <w:p w14:paraId="18CC6415" w14:textId="588E90F5" w:rsidR="00AC0034" w:rsidRDefault="00F66799" w:rsidP="00420B79">
      <w:r>
        <w:t>Eerder onderzoek in opdracht van VNO-NCW</w:t>
      </w:r>
      <w:r w:rsidR="00F828DF">
        <w:rPr>
          <w:rStyle w:val="Eindnootmarkering"/>
        </w:rPr>
        <w:endnoteReference w:id="1"/>
      </w:r>
      <w:r>
        <w:t xml:space="preserve"> heeft uitgewezen dat de bedrijventerreinen in de MRE regio</w:t>
      </w:r>
      <w:r w:rsidR="00F828DF">
        <w:t xml:space="preserve"> onderverdeeld kunnen worden in </w:t>
      </w:r>
      <w:r w:rsidR="00433BCB">
        <w:t>drie</w:t>
      </w:r>
      <w:r w:rsidR="00F828DF">
        <w:t xml:space="preserve"> archetypen. </w:t>
      </w:r>
      <w:r w:rsidR="00433BCB">
        <w:t xml:space="preserve">Ieder archetype heeft een andere mix van bedrijvigheid, waardoor de kansen voor verduurzaming verschillen. Met een </w:t>
      </w:r>
      <w:r w:rsidR="002C1877">
        <w:t xml:space="preserve">aantal </w:t>
      </w:r>
      <w:r w:rsidR="00433BCB">
        <w:t xml:space="preserve">pilots in de MRE </w:t>
      </w:r>
      <w:r w:rsidR="002C1877">
        <w:t xml:space="preserve">en daarbuiten </w:t>
      </w:r>
      <w:r w:rsidR="00F828DF">
        <w:t xml:space="preserve">is VNO-NCW met partners aan het uitkristalliseren welke </w:t>
      </w:r>
      <w:r w:rsidR="00524993">
        <w:t xml:space="preserve">projecten </w:t>
      </w:r>
      <w:r w:rsidR="00F828DF">
        <w:t xml:space="preserve">per archetype het beste </w:t>
      </w:r>
      <w:r w:rsidR="00524993">
        <w:t>opgepakt kunnen worden met ondernemers</w:t>
      </w:r>
      <w:r w:rsidR="00F828DF">
        <w:t xml:space="preserve">. </w:t>
      </w:r>
      <w:r w:rsidR="008E6FB9">
        <w:t xml:space="preserve">Deze pilot aanpak wordt in eerste instantie voorzien op een 5-tal bestaande bedrijventerreinen in de regio, van waaruit geleerde lessen en best </w:t>
      </w:r>
      <w:proofErr w:type="spellStart"/>
      <w:r w:rsidR="008E6FB9">
        <w:t>practices</w:t>
      </w:r>
      <w:proofErr w:type="spellEnd"/>
      <w:r w:rsidR="008E6FB9">
        <w:t xml:space="preserve"> worden gedestilleerd die </w:t>
      </w:r>
      <w:r w:rsidR="00D709C8">
        <w:t xml:space="preserve">doorgezet </w:t>
      </w:r>
      <w:r w:rsidR="008E6FB9">
        <w:t xml:space="preserve">en </w:t>
      </w:r>
      <w:r w:rsidR="00D709C8">
        <w:t xml:space="preserve">opgeschaald zouden kunnen worden </w:t>
      </w:r>
      <w:r w:rsidR="008E6FB9">
        <w:t xml:space="preserve">naar andere bedrijventerreinen met dezelfde archetypen. </w:t>
      </w:r>
      <w:r w:rsidR="00AC0034">
        <w:br/>
        <w:t xml:space="preserve">Parallel aan het starten van duurzaamheidsprojecten met de ondernemers </w:t>
      </w:r>
      <w:r w:rsidR="007A2356">
        <w:t xml:space="preserve">wordt gekeken hoe de organisatiegraad op de bedrijventerreinen verhoogd kan worden. In lijn met </w:t>
      </w:r>
      <w:r w:rsidR="006B1278">
        <w:t xml:space="preserve">de Aanpak Werklocaties van de provincie </w:t>
      </w:r>
      <w:r w:rsidR="009207FC">
        <w:t>word</w:t>
      </w:r>
      <w:r w:rsidR="00C41612">
        <w:t>t gekeken hoe</w:t>
      </w:r>
      <w:r w:rsidR="009207FC">
        <w:t xml:space="preserve"> parkmanagement en ondernemersvereniging</w:t>
      </w:r>
      <w:r w:rsidR="00C41612">
        <w:t xml:space="preserve">en een vooraanstaande rol </w:t>
      </w:r>
      <w:r w:rsidR="00512694">
        <w:t>kunnen nemen in de verduurzaming van bedrijventerreinen, gesteund door een robuuste financiering die continuïteit borgt.</w:t>
      </w:r>
    </w:p>
    <w:p w14:paraId="18925B85" w14:textId="1AC749C8" w:rsidR="008E6FB9" w:rsidRPr="00F66799" w:rsidRDefault="008E6FB9" w:rsidP="00420B79">
      <w:r>
        <w:t xml:space="preserve">Resultaat: handreikingen voor verduurzaming van elk van de 3 archetypen bedrijventerrein, die gemeenten kunnen gebruiken om samen met hun partners hun </w:t>
      </w:r>
      <w:proofErr w:type="spellStart"/>
      <w:r>
        <w:t>bedrijventerrenen</w:t>
      </w:r>
      <w:proofErr w:type="spellEnd"/>
      <w:r>
        <w:t xml:space="preserve"> te verduurzamen. </w:t>
      </w:r>
    </w:p>
    <w:p w14:paraId="1963AAF1" w14:textId="77777777" w:rsidR="00383E34" w:rsidRDefault="00274156" w:rsidP="00383E34">
      <w:pPr>
        <w:pStyle w:val="Kop2"/>
      </w:pPr>
      <w:r w:rsidRPr="00420B79">
        <w:t>Online platform voor bedrijven:</w:t>
      </w:r>
    </w:p>
    <w:p w14:paraId="1A20254A" w14:textId="06B4AFBE" w:rsidR="00274156" w:rsidRPr="00A14547" w:rsidRDefault="00274156" w:rsidP="00420B79">
      <w:pPr>
        <w:rPr>
          <w:b/>
          <w:bCs/>
        </w:rPr>
      </w:pPr>
      <w:r w:rsidRPr="00A14547">
        <w:rPr>
          <w:b/>
          <w:bCs/>
        </w:rPr>
        <w:t>Een online platform helpt de diverse doelgroepen en stakeholders door het op objectieve wijze delen van kennis en ervaring, het vergaren en monitoren van activiteiten en resultaten en het uitdagen van deelnemers te participeren en samen te werken in diverse initiatieven.</w:t>
      </w:r>
    </w:p>
    <w:p w14:paraId="732B320E" w14:textId="4CFE758B" w:rsidR="00EE1AD7" w:rsidRPr="00420B79" w:rsidRDefault="00EE1AD7" w:rsidP="00EE1AD7">
      <w:r w:rsidRPr="00EE1AD7">
        <w:t xml:space="preserve">Het online platform is een publiek-privaat initiatief rond de verduurzaming van bedrijven in de MRE-regio. Het helpt de diverse doelgroepen en stakeholders door het op objectieve wijze delen van kennis en ervaring, het vergaren en monitoren van activiteiten en resultaten en het uitdagen van deelnemers te participeren in diverse initiatieven. </w:t>
      </w:r>
      <w:r>
        <w:t xml:space="preserve">Door te informeren en inspireren d.m.v. netwerkuitwisseling stimuleren we partijen tot overleg en initiëren we diverse vormen van samenwerking op verschillende terreinen, zoals bedrijven(terreinen), kantoren, </w:t>
      </w:r>
      <w:proofErr w:type="spellStart"/>
      <w:r>
        <w:t>retail</w:t>
      </w:r>
      <w:proofErr w:type="spellEnd"/>
      <w:r>
        <w:t xml:space="preserve"> &amp; horeca en agrarische bedrijven. Tevens kunnen we via diverse publieke partijen (VNG, RVO, ODZOB, Provincie, BOM), koepelorganisaties (VNO-NCW, Brainport, ZLTO,..) en kennisinstituten (TU/E, </w:t>
      </w:r>
      <w:proofErr w:type="spellStart"/>
      <w:r>
        <w:t>Fontys</w:t>
      </w:r>
      <w:proofErr w:type="spellEnd"/>
      <w:r>
        <w:t>…) het bedrijfsleven ondersteuning bieden op terreinen van samenwerking, ontwikkeling, innovatie, wet &amp; regelgeving, onderzoek en financiering. Naast kennisdeling en intensieve samenwerking is het ook zaak dat er daadwerkelijke oplossingen met elkaar gedeeld worden, dat projecten en resultaten openbaar zijn en vragers en aanbieders elkaar kunnen vinden om duurzaamheid beter in te vullen; projecten en oplossingen zijn onderdeel van de leercurve en niet alleen het scoren van een transactie.</w:t>
      </w:r>
    </w:p>
    <w:p w14:paraId="13469165" w14:textId="38CE9FA7" w:rsidR="00EE1AD7" w:rsidRPr="00420B79" w:rsidRDefault="00EE1AD7" w:rsidP="00EE1AD7">
      <w:r>
        <w:lastRenderedPageBreak/>
        <w:t xml:space="preserve">Resultaat module: een online platform wat een </w:t>
      </w:r>
      <w:proofErr w:type="spellStart"/>
      <w:r>
        <w:t>one</w:t>
      </w:r>
      <w:proofErr w:type="spellEnd"/>
      <w:r>
        <w:t xml:space="preserve">-stop-shop vormt voor vragen vanuit bedrijven </w:t>
      </w:r>
      <w:r w:rsidR="009219BA">
        <w:t xml:space="preserve">en gemeenten </w:t>
      </w:r>
      <w:r>
        <w:t xml:space="preserve">over </w:t>
      </w:r>
      <w:r w:rsidR="009219BA">
        <w:t xml:space="preserve">verduurzaming van bedrijfspanden/kantoren, kavels en bedrijventerreinen. </w:t>
      </w:r>
    </w:p>
    <w:p w14:paraId="65EA2004" w14:textId="77777777" w:rsidR="00420B79" w:rsidRDefault="00274156" w:rsidP="00383E34">
      <w:pPr>
        <w:pStyle w:val="Kop2"/>
      </w:pPr>
      <w:r w:rsidRPr="00420B79">
        <w:t>Aanpak agrarische bedrijven:</w:t>
      </w:r>
    </w:p>
    <w:p w14:paraId="29847A94" w14:textId="2557F05B" w:rsidR="00486C0C" w:rsidRPr="00486C0C" w:rsidRDefault="00486C0C" w:rsidP="00486C0C">
      <w:pPr>
        <w:rPr>
          <w:b/>
          <w:bCs/>
        </w:rPr>
      </w:pPr>
      <w:r w:rsidRPr="00486C0C">
        <w:rPr>
          <w:b/>
          <w:bCs/>
        </w:rPr>
        <w:t>Het ontwerpen van een integrale aanpak van de energietransitie bij agrarische bedrijven</w:t>
      </w:r>
      <w:r>
        <w:rPr>
          <w:b/>
          <w:bCs/>
        </w:rPr>
        <w:t xml:space="preserve"> als onderdeel van de diversificatie van hun inkomensbronnen</w:t>
      </w:r>
      <w:r w:rsidRPr="00486C0C">
        <w:rPr>
          <w:b/>
          <w:bCs/>
        </w:rPr>
        <w:t>.</w:t>
      </w:r>
    </w:p>
    <w:p w14:paraId="3AB02CD4" w14:textId="6793BD88" w:rsidR="00486C0C" w:rsidRDefault="00486C0C" w:rsidP="00486C0C">
      <w:r w:rsidRPr="00486C0C">
        <w:t>De transitie van het landelijk gebied is één van de vier thema’s waar we als 21 MRE gemeenten samen de schouders onder zetten. Dit wordt in het REGIONAAL STREEFBEELD VAN ONS LANDELIJK GEBIED van de MRE verder uitgewerkt. Dit streefbeeld beschrijft onze ambitie, als 21 samenwerkende gemeenten, met richtinggevende uitspraken over deze gewenste ontwikkeling.</w:t>
      </w:r>
      <w:r w:rsidR="00933A5B">
        <w:t xml:space="preserve"> </w:t>
      </w:r>
      <w:r w:rsidR="00933A5B" w:rsidRPr="00933A5B">
        <w:t xml:space="preserve">De MRE RES is bezig om inzichtelijk te krijgen hoe ook agrarische bedrijven zouden kunnen worden aangezet tot het nemen van energiebesparende maatregelen en toepassing van duurzame energie binnen hun hele pakket aan bedrijfsactiviteiten. Daarbij behoren dus zonneparken, maar ook de verbouw van energiegewassen en omzetting van mest in brandstoffen. Op dit moment wordt een </w:t>
      </w:r>
      <w:proofErr w:type="spellStart"/>
      <w:r w:rsidR="00933A5B" w:rsidRPr="00933A5B">
        <w:t>PlanMER</w:t>
      </w:r>
      <w:proofErr w:type="spellEnd"/>
      <w:r w:rsidR="00933A5B" w:rsidRPr="00933A5B">
        <w:t xml:space="preserve"> mestbewerking uitgewerkt op provinciaal niveau, waar vergisting ook een rol speelt. Er zijn dus ook niet alleen mogelijkheden om energiebesparing bij agrarische bedrijven te realiseren, maar ze komen ook zeker in aanmerking om een bijdrage te leveren aan de opwek van duurzame energie.</w:t>
      </w:r>
      <w:r w:rsidR="00933A5B">
        <w:t xml:space="preserve"> </w:t>
      </w:r>
      <w:r w:rsidR="00933A5B" w:rsidRPr="00933A5B">
        <w:t xml:space="preserve">Er blijken dus meerdere opties om ambities met betrekking tot verduurzaming van agrarische bedrijven te beleggen. Het gebruik van een mix van verbetert de mogelijkheid van </w:t>
      </w:r>
      <w:proofErr w:type="spellStart"/>
      <w:r w:rsidR="00933A5B" w:rsidRPr="00933A5B">
        <w:t>agrariers</w:t>
      </w:r>
      <w:proofErr w:type="spellEnd"/>
      <w:r w:rsidR="00933A5B" w:rsidRPr="00933A5B">
        <w:t xml:space="preserve"> om flexibel te reageren op de maatschappelijke vraag naar hun bijdrage in de energietransitie.</w:t>
      </w:r>
    </w:p>
    <w:p w14:paraId="29DAEB11" w14:textId="0A751EFF" w:rsidR="00C729FC" w:rsidRDefault="00C729FC" w:rsidP="00486C0C">
      <w:r>
        <w:t xml:space="preserve">Resultaat module: </w:t>
      </w:r>
      <w:r w:rsidRPr="00C729FC">
        <w:t>Een SWOT van instrumenten voor energetische prestatie verbetering bij agrarische bedrijven</w:t>
      </w:r>
      <w:r>
        <w:t xml:space="preserve">, die </w:t>
      </w:r>
      <w:r w:rsidRPr="00C729FC">
        <w:t xml:space="preserve">inzicht </w:t>
      </w:r>
      <w:r>
        <w:t>geeft</w:t>
      </w:r>
      <w:r w:rsidRPr="00C729FC">
        <w:t xml:space="preserve"> in de ervaringen van gemeenten met het gebruik van dergelijke instrumenten en een evaluatie van bruikbare instrumenten voor het aansporen van bedrijven om meer met energiebesparing en DE aan de slag te gaan.</w:t>
      </w:r>
    </w:p>
    <w:p w14:paraId="4EAF6A75" w14:textId="4CDC4E2F" w:rsidR="00383E34" w:rsidRDefault="00274156" w:rsidP="00383E34">
      <w:pPr>
        <w:pStyle w:val="Kop2"/>
      </w:pPr>
      <w:r w:rsidRPr="00420B79">
        <w:t>Duurzaamheidsafspraken nieuwbouw:</w:t>
      </w:r>
    </w:p>
    <w:p w14:paraId="78E4C985" w14:textId="2E91E4F2" w:rsidR="00383E34" w:rsidRPr="001F016F" w:rsidRDefault="00274156" w:rsidP="00383E34">
      <w:pPr>
        <w:pStyle w:val="Geenafstand"/>
        <w:rPr>
          <w:b/>
          <w:bCs/>
        </w:rPr>
      </w:pPr>
      <w:r w:rsidRPr="001F016F">
        <w:rPr>
          <w:b/>
          <w:bCs/>
        </w:rPr>
        <w:t xml:space="preserve">Evalueren van het regionale convenant duurzaam bouwen (specifiek bedrijven) uit 2010 en het maken van nieuwe afspraken. </w:t>
      </w:r>
    </w:p>
    <w:p w14:paraId="44C0D2E3" w14:textId="77777777" w:rsidR="0066541D" w:rsidRDefault="001F016F" w:rsidP="001F016F">
      <w:pPr>
        <w:pStyle w:val="Geenafstand"/>
      </w:pPr>
      <w:r>
        <w:t xml:space="preserve">De regionale ambities op het gebied van duurzaamheid zijn in het Convenant Duurzaam Bouwen Regio Eindhoven van 2010 vastgelegd. Hierbij is voor wat betreft het ambitieniveau aangesloten bij het reeds in 1996 afgesproken ambitieniveau (eerste convenant). Het doel van dit nieuwe Convenant is de bevordering van de realisatie van kwalitatief goede en duurzame nieuwbouwwoningen in onze regio. Hierbij was </w:t>
      </w:r>
      <w:r w:rsidR="0066541D">
        <w:t xml:space="preserve">GPR Gebouw® </w:t>
      </w:r>
      <w:r>
        <w:t>het leidende en toetsende instrument. Dit Convenant heeft echter alleen betrekking op nieuwbouw. Met het ondertekenen van dit Convenant was de Regio landelijk op dat moment de grootste regio die GPR Gebouw hanteert. Er zouden binnen de SRE-Regio in 2011 nog afspraken gemaakt worden over de bestaande woningvoorraad en nieuwe en bestaande utiliteitsbouw. Dit is helaas in verband met verminderde animo niet gebeurd.</w:t>
      </w:r>
      <w:r w:rsidR="0066541D">
        <w:t xml:space="preserve"> </w:t>
      </w:r>
      <w:r>
        <w:t>Het lijkt er</w:t>
      </w:r>
      <w:r w:rsidR="0066541D">
        <w:t xml:space="preserve"> dus </w:t>
      </w:r>
      <w:r>
        <w:t>op dat een groot aantal van de gemeenten in de regio dit convenant en het gebruik van het GPR wat hieruit resulteert niet meer hanteert. Om het GPR instrument te gebruiken is een licentie nodig die jaarlijks wordt verlengd. Er zijn natuurlijk ook andere instrumenten voor het bepalen van de duurzaamheidskwaliteit van gebouwen en gebieden. Denk hierbij aan: EMG rekentool, EPL, DPL-BT, GPR Stedenbouw, C2C tool Bedrijventerreinen, en BREEAM-NL Gebiedsontwikkeling</w:t>
      </w:r>
      <w:r>
        <w:rPr>
          <w:rStyle w:val="Eindnootmarkering"/>
        </w:rPr>
        <w:endnoteReference w:id="2"/>
      </w:r>
      <w:r>
        <w:t>.</w:t>
      </w:r>
      <w:r w:rsidR="0066541D">
        <w:t xml:space="preserve"> Hernieuwing van het convenant met daarin ook speciale aandacht voor duurzame energieprestaties voor bedrijven/bedrijfsterreinen/bedrijventerreinen geeft de mogelijkheid om vooraf inzichtelijk te hebben waaraan nieuw te vestigen/herplaatsende bedrijven en aan te leggen/te herstructureren bedrijventerreinen in de MRE regio aan zouden moeten voldoen. </w:t>
      </w:r>
    </w:p>
    <w:p w14:paraId="5934F7C8" w14:textId="77777777" w:rsidR="0066541D" w:rsidRDefault="0066541D" w:rsidP="001F016F">
      <w:pPr>
        <w:pStyle w:val="Geenafstand"/>
      </w:pPr>
    </w:p>
    <w:p w14:paraId="7B6B269B" w14:textId="248605C0" w:rsidR="001F016F" w:rsidRDefault="0066541D" w:rsidP="001F016F">
      <w:pPr>
        <w:pStyle w:val="Geenafstand"/>
      </w:pPr>
      <w:r>
        <w:lastRenderedPageBreak/>
        <w:t xml:space="preserve">Resultaat module: </w:t>
      </w:r>
      <w:r w:rsidR="001F016F">
        <w:t xml:space="preserve"> </w:t>
      </w:r>
      <w:r w:rsidRPr="0066541D">
        <w:t xml:space="preserve">Een SWOT van instrumenten voor duurzame stedenbouw en duurzaam bouwen </w:t>
      </w:r>
      <w:r>
        <w:t>die</w:t>
      </w:r>
      <w:r w:rsidRPr="0066541D">
        <w:t xml:space="preserve"> inzicht </w:t>
      </w:r>
      <w:r>
        <w:t>geeft</w:t>
      </w:r>
      <w:r w:rsidRPr="0066541D">
        <w:t xml:space="preserve"> in de </w:t>
      </w:r>
      <w:r w:rsidR="003958B8">
        <w:t>afspraken die met bedrijven/</w:t>
      </w:r>
      <w:proofErr w:type="spellStart"/>
      <w:r w:rsidR="003958B8">
        <w:t>bedrijvenvereningingen</w:t>
      </w:r>
      <w:proofErr w:type="spellEnd"/>
      <w:r w:rsidR="003958B8">
        <w:t xml:space="preserve"> gemaakt kunnen worden om de energieprestaties van hun panden/kavels/terreinen te verbeteren</w:t>
      </w:r>
      <w:r w:rsidRPr="0066541D">
        <w:t>.</w:t>
      </w:r>
    </w:p>
    <w:p w14:paraId="52F8CD49" w14:textId="77777777" w:rsidR="001F016F" w:rsidRPr="00383E34" w:rsidRDefault="001F016F" w:rsidP="00383E34">
      <w:pPr>
        <w:pStyle w:val="Geenafstand"/>
      </w:pPr>
    </w:p>
    <w:p w14:paraId="06EDB7DC" w14:textId="77777777" w:rsidR="00383E34" w:rsidRDefault="00274156" w:rsidP="00383E34">
      <w:pPr>
        <w:pStyle w:val="Kop2"/>
      </w:pPr>
      <w:r w:rsidRPr="00420B79">
        <w:t>Extra inzet toezicht/handhaving:</w:t>
      </w:r>
    </w:p>
    <w:p w14:paraId="3FD27B9B" w14:textId="792139EC" w:rsidR="00274156" w:rsidRDefault="00274156" w:rsidP="00383E34">
      <w:pPr>
        <w:rPr>
          <w:b/>
          <w:bCs/>
        </w:rPr>
      </w:pPr>
      <w:r w:rsidRPr="00240A1F">
        <w:rPr>
          <w:b/>
          <w:bCs/>
        </w:rPr>
        <w:t>Deze RES module maakt het mogelijk om extra inzet te plegen naast de afspraken in het werkprogramma van de ODZOB, zodat er meer bedrijven gecontroleerd kunnen worden.</w:t>
      </w:r>
    </w:p>
    <w:p w14:paraId="5E2FF23F" w14:textId="37122509" w:rsidR="006D7E1D" w:rsidRDefault="006D7E1D" w:rsidP="006D7E1D">
      <w:r>
        <w:t xml:space="preserve">Er zijn nog veel bedrijven die niet voldoen aan de wet- en regelgeving gericht op energiebesparing. Dat is een gemiste kans, want het gaat om het laaghangend fruit. Via het reguliere werkprogramma toezicht </w:t>
      </w:r>
      <w:r w:rsidR="008C395A">
        <w:t xml:space="preserve">ODZOB </w:t>
      </w:r>
      <w:r>
        <w:t xml:space="preserve">kan jaarlijks slechts een beperkt aantal bedrijven gecontroleerd worden. Gemeenten hebben een beperkt budget voor uitvoering van VTH taken door de ODZOB. In het werkprogramma van de worden jaarlijks keuzes gemaakt waaraan prioriteit wordt gegeven vanuit toezicht en handhaving. “Energie en duurzaamheid” is bestuurlijk weliswaar hoog geprioriteerd. In de praktijk blijkt dat energie moet concurreren met andere thema’s zoals veiligheid en milieuovertredingen die tot direct constateerbare milieuschade kunnen leiden. In 2020 heeft de ODZOB in de regio bijvoorbeeld 43 energiecontroles bij kantoren uitgevoerd en 44 met energie </w:t>
      </w:r>
      <w:proofErr w:type="spellStart"/>
      <w:r>
        <w:t>opgepluste</w:t>
      </w:r>
      <w:proofErr w:type="spellEnd"/>
      <w:r>
        <w:t xml:space="preserve"> milieucontroles waar op een selectie van energiemaatregelen is gecontroleerd. De VUE regeling doet daar een schep bovenop: in 2020 zijn 2.304 bedrijven aangeschreven op de informatieplicht en 187 controles uitgevoerd. Door extra inzet via deze RES module kunnen we meer bereiken.</w:t>
      </w:r>
      <w:r w:rsidRPr="006D7E1D">
        <w:t xml:space="preserve"> </w:t>
      </w:r>
      <w:r>
        <w:t xml:space="preserve">De verwachting is dat toezicht en handhaving gemiddeld 10% energiebesparing levert en een reductie van ca. 25 ton CO2 per controle (voor een volwaardige energiecontrole). De maatregelen die verplicht kunnen worden gesteld verdienen zich binnen 5 jaar terug, dus bedrijven hebben er uiteindelijk financieel voordeel van.   </w:t>
      </w:r>
    </w:p>
    <w:p w14:paraId="0AB80F0B" w14:textId="189A03BF" w:rsidR="00240A1F" w:rsidRPr="00240A1F" w:rsidRDefault="006D7E1D" w:rsidP="006D7E1D">
      <w:r>
        <w:t xml:space="preserve">Resultaat module: Een transparante aanpak van toezicht en handhaving bij bedrijven die achterblijven in het verbeteren van hun energieprestaties. </w:t>
      </w:r>
    </w:p>
    <w:p w14:paraId="3528AE61" w14:textId="183312F2" w:rsidR="00383E34" w:rsidRDefault="00274156" w:rsidP="00383E34">
      <w:pPr>
        <w:pStyle w:val="Kop2"/>
      </w:pPr>
      <w:r w:rsidRPr="00420B79">
        <w:t>Opzetten ondernemersfonds:</w:t>
      </w:r>
    </w:p>
    <w:p w14:paraId="08DCACF9" w14:textId="610A28E7" w:rsidR="00274156" w:rsidRPr="008C395A" w:rsidRDefault="00274156" w:rsidP="00420B79">
      <w:pPr>
        <w:spacing w:after="0" w:line="276" w:lineRule="auto"/>
        <w:rPr>
          <w:rFonts w:cstheme="minorHAnsi"/>
          <w:b/>
          <w:bCs/>
          <w:sz w:val="24"/>
          <w:szCs w:val="24"/>
        </w:rPr>
      </w:pPr>
      <w:r w:rsidRPr="008C395A">
        <w:rPr>
          <w:rFonts w:cstheme="minorHAnsi"/>
          <w:b/>
          <w:bCs/>
          <w:sz w:val="24"/>
          <w:szCs w:val="24"/>
        </w:rPr>
        <w:t>Doel van deze module is om te onderzoeken op welke manier duurzame financiering van collectieve verduurzaming bij bedrijven ingericht kan worden.</w:t>
      </w:r>
    </w:p>
    <w:p w14:paraId="7681A69C" w14:textId="30DC68A4" w:rsidR="00D10B5F" w:rsidRPr="00D10B5F" w:rsidRDefault="00D10B5F" w:rsidP="00D10B5F">
      <w:pPr>
        <w:spacing w:after="0" w:line="276" w:lineRule="auto"/>
        <w:rPr>
          <w:rFonts w:cstheme="minorHAnsi"/>
          <w:i/>
          <w:iCs/>
          <w:sz w:val="24"/>
          <w:szCs w:val="24"/>
        </w:rPr>
      </w:pPr>
      <w:r w:rsidRPr="00D10B5F">
        <w:rPr>
          <w:rFonts w:cstheme="minorHAnsi"/>
          <w:sz w:val="24"/>
          <w:szCs w:val="24"/>
        </w:rPr>
        <w:t>MRE-gemeente Helmond kent een ondernemersfonds waaraan elke zakelijke OZB-betaler meebetaalt en dat het mogelijk maakt om collectieve activiteiten te ontplooien:</w:t>
      </w:r>
      <w:r>
        <w:rPr>
          <w:rFonts w:cstheme="minorHAnsi"/>
          <w:sz w:val="24"/>
          <w:szCs w:val="24"/>
        </w:rPr>
        <w:t xml:space="preserve"> </w:t>
      </w:r>
      <w:r w:rsidRPr="00D10B5F">
        <w:rPr>
          <w:rFonts w:cstheme="minorHAnsi"/>
          <w:i/>
          <w:iCs/>
          <w:sz w:val="24"/>
          <w:szCs w:val="24"/>
        </w:rPr>
        <w:t>“Doelstelling van de Stichting Ondernemersfonds Helmond is directe belangenbehartiging middels de kostendekking voor de drie koepelorganisaties: Parkmanagement, Centrummanagement en Wijkmanagement. Daarnaast stelt het Ondernemersfonds het bedrijfsleven in de gelegenheid tot het aangaan van dynamische verbindingen door het realiseren van nieuwe contacten en gezamenlijke projecten binnen en tussen haar trekkingsgebieden, die bijdragen aan samenwerking tussen het bedrijfsleven, overheden en de verzorgende sectoren (cross-overs). Dit alles met het doel te komen tot een optimaal voorzieningenniveau en toekomstbestendige aantrekkingskracht van stad en bedrijfsleven.”</w:t>
      </w:r>
      <w:r>
        <w:rPr>
          <w:rStyle w:val="Eindnootmarkering"/>
          <w:rFonts w:cstheme="minorHAnsi"/>
          <w:i/>
          <w:iCs/>
          <w:sz w:val="24"/>
          <w:szCs w:val="24"/>
        </w:rPr>
        <w:endnoteReference w:id="3"/>
      </w:r>
    </w:p>
    <w:p w14:paraId="66E1AB47" w14:textId="6EEB6BB4" w:rsidR="00D10B5F" w:rsidRDefault="00D10B5F" w:rsidP="00D10B5F">
      <w:pPr>
        <w:spacing w:after="0" w:line="276" w:lineRule="auto"/>
        <w:rPr>
          <w:rFonts w:cstheme="minorHAnsi"/>
          <w:sz w:val="24"/>
          <w:szCs w:val="24"/>
        </w:rPr>
      </w:pPr>
      <w:r>
        <w:rPr>
          <w:rFonts w:cstheme="minorHAnsi"/>
          <w:sz w:val="24"/>
          <w:szCs w:val="24"/>
        </w:rPr>
        <w:t xml:space="preserve">Een dergelijk financieringsinstrument zou ook op andere bedrijventerreinen of bij bedrijvenverenigingen ingezet kunnen worden om gezamenlijk een financiële reserve op te bouwen om de energieprestaties van de verenigingsleden of bedrijven op parken te verbeteren via collectieve acties of ondersteuning van minder draagkrachtige leden. </w:t>
      </w:r>
      <w:r w:rsidRPr="00D10B5F">
        <w:rPr>
          <w:rFonts w:cstheme="minorHAnsi"/>
          <w:sz w:val="24"/>
          <w:szCs w:val="24"/>
        </w:rPr>
        <w:t xml:space="preserve"> </w:t>
      </w:r>
    </w:p>
    <w:p w14:paraId="6892C8C6" w14:textId="77777777" w:rsidR="00746F9A" w:rsidRDefault="00746F9A" w:rsidP="00D10B5F">
      <w:pPr>
        <w:spacing w:after="0" w:line="276" w:lineRule="auto"/>
        <w:rPr>
          <w:rFonts w:cstheme="minorHAnsi"/>
          <w:sz w:val="24"/>
          <w:szCs w:val="24"/>
        </w:rPr>
      </w:pPr>
    </w:p>
    <w:p w14:paraId="588FD346" w14:textId="7A8F4961" w:rsidR="00D10B5F" w:rsidRPr="00D10B5F" w:rsidRDefault="00D10B5F" w:rsidP="00D10B5F">
      <w:pPr>
        <w:spacing w:after="0" w:line="276" w:lineRule="auto"/>
        <w:rPr>
          <w:rFonts w:cstheme="minorHAnsi"/>
          <w:sz w:val="24"/>
          <w:szCs w:val="24"/>
        </w:rPr>
      </w:pPr>
      <w:r>
        <w:rPr>
          <w:rFonts w:cstheme="minorHAnsi"/>
          <w:sz w:val="24"/>
          <w:szCs w:val="24"/>
        </w:rPr>
        <w:lastRenderedPageBreak/>
        <w:t>Resultaat</w:t>
      </w:r>
      <w:r w:rsidR="00746F9A">
        <w:rPr>
          <w:rFonts w:cstheme="minorHAnsi"/>
          <w:sz w:val="24"/>
          <w:szCs w:val="24"/>
        </w:rPr>
        <w:t xml:space="preserve"> module</w:t>
      </w:r>
      <w:r>
        <w:rPr>
          <w:rFonts w:cstheme="minorHAnsi"/>
          <w:sz w:val="24"/>
          <w:szCs w:val="24"/>
        </w:rPr>
        <w:t xml:space="preserve">: een overzicht van potentiele financiële samenwerkingsvormen tussen gemeenten en bedrijvenverenigingen </w:t>
      </w:r>
      <w:r w:rsidR="00746F9A">
        <w:rPr>
          <w:rFonts w:cstheme="minorHAnsi"/>
          <w:sz w:val="24"/>
          <w:szCs w:val="24"/>
        </w:rPr>
        <w:t xml:space="preserve">en de manier waarop deze vormgegeven kunnen worden. Hiermee kunnen gemeenten hun bedrijven benaderen om te zien of er dergelijke samenwerkingsovereenkomsten opgezet kunnen worden (bijv. in de vorm van een Greendeal). </w:t>
      </w:r>
    </w:p>
    <w:p w14:paraId="7A749F53" w14:textId="77777777" w:rsidR="00D10B5F" w:rsidRPr="00D10B5F" w:rsidRDefault="00D10B5F" w:rsidP="00D10B5F">
      <w:pPr>
        <w:spacing w:after="0" w:line="276" w:lineRule="auto"/>
        <w:rPr>
          <w:rFonts w:cstheme="minorHAnsi"/>
          <w:sz w:val="24"/>
          <w:szCs w:val="24"/>
        </w:rPr>
      </w:pPr>
    </w:p>
    <w:p w14:paraId="5DD00A9F" w14:textId="77777777" w:rsidR="008C395A" w:rsidRPr="00420B79" w:rsidRDefault="008C395A" w:rsidP="00420B79">
      <w:pPr>
        <w:spacing w:after="0" w:line="276" w:lineRule="auto"/>
        <w:rPr>
          <w:rFonts w:cstheme="minorHAnsi"/>
          <w:sz w:val="24"/>
          <w:szCs w:val="24"/>
        </w:rPr>
      </w:pPr>
    </w:p>
    <w:p w14:paraId="6E4DA968" w14:textId="77777777" w:rsidR="00383E34" w:rsidRDefault="00383E34" w:rsidP="00420B79">
      <w:pPr>
        <w:spacing w:after="0" w:line="276" w:lineRule="auto"/>
        <w:rPr>
          <w:rFonts w:cstheme="minorHAnsi"/>
          <w:b/>
          <w:bCs/>
          <w:sz w:val="24"/>
          <w:szCs w:val="24"/>
        </w:rPr>
      </w:pPr>
    </w:p>
    <w:p w14:paraId="5A9E9A57" w14:textId="37D4CCDE" w:rsidR="00274156" w:rsidRDefault="00F6067F" w:rsidP="00383E34">
      <w:pPr>
        <w:pStyle w:val="Kop2"/>
      </w:pPr>
      <w:r w:rsidRPr="00420B79">
        <w:t>Aanpak zon op dak</w:t>
      </w:r>
    </w:p>
    <w:p w14:paraId="79C4220F" w14:textId="60BAE48F" w:rsidR="00383E34" w:rsidRPr="00395B32" w:rsidRDefault="00395B32" w:rsidP="00383E34">
      <w:pPr>
        <w:pStyle w:val="Geenafstand"/>
        <w:rPr>
          <w:b/>
          <w:bCs/>
        </w:rPr>
      </w:pPr>
      <w:r w:rsidRPr="00395B32">
        <w:rPr>
          <w:b/>
          <w:bCs/>
        </w:rPr>
        <w:t xml:space="preserve">Deze RES module beschrijft een plan de campagne over hoe MRE gemeenten gezamenlijk kunnen zorgdragen voor een grotere bedekkingsgraad van bedrijvendaken met P(V)T panelen voor eigen gebruik en/of </w:t>
      </w:r>
      <w:proofErr w:type="spellStart"/>
      <w:r w:rsidRPr="00395B32">
        <w:rPr>
          <w:b/>
          <w:bCs/>
        </w:rPr>
        <w:t>teruglevering</w:t>
      </w:r>
      <w:proofErr w:type="spellEnd"/>
      <w:r w:rsidRPr="00395B32">
        <w:rPr>
          <w:b/>
          <w:bCs/>
        </w:rPr>
        <w:t xml:space="preserve">.  </w:t>
      </w:r>
    </w:p>
    <w:p w14:paraId="2549EC8B" w14:textId="63D01CEE" w:rsidR="00420B79" w:rsidRDefault="00395B32" w:rsidP="00420B79">
      <w:r>
        <w:t xml:space="preserve">Ondanks dat er grote oppervlakken bedrijfsdaken beschikbaar zijn in de regio voor uitbreiding van het oppervlak onder zonnepanelen, </w:t>
      </w:r>
      <w:r w:rsidR="004A0021">
        <w:t>loopt de uiteindelijke aanleg van zon-op-dak achter op de noodzaak tot duurzame opwek van elektriciteit en warmte. Er zijn een aantal belemmerende factoren die bedrijven weerhouden van het overgaan tot aanleg van zon-op-dak, waaronder no-</w:t>
      </w:r>
      <w:proofErr w:type="spellStart"/>
      <w:r w:rsidR="004A0021">
        <w:t>core</w:t>
      </w:r>
      <w:proofErr w:type="spellEnd"/>
      <w:r w:rsidR="004A0021">
        <w:t xml:space="preserve">-business, veronderstelde onvoldoende draagkracht dakconstructie, congestie op het net, etc. </w:t>
      </w:r>
      <w:r w:rsidR="00CF7E43">
        <w:t xml:space="preserve">Een aantal van deze belemmeringen zijn vooronderstellingen van de bedrijven, die op dit moment met bewezen technieken al aangepakt kunnen worden (zonnefilm, lichtgewicht panelen, </w:t>
      </w:r>
      <w:proofErr w:type="spellStart"/>
      <w:r w:rsidR="00CF7E43">
        <w:t>post-code</w:t>
      </w:r>
      <w:proofErr w:type="spellEnd"/>
      <w:r w:rsidR="00CF7E43">
        <w:t xml:space="preserve"> roos organisatie/ huur-lease constructies, etc.) en dus met communicatie en kennisuitwisseling kunnen worden weggenomen. Andere </w:t>
      </w:r>
      <w:r w:rsidR="00C454B7">
        <w:t xml:space="preserve">zijn meer structureel en vereisen innovatieve aanpakken met combinaties van technische innovaties en administratief/juridische processen. In samenwerking met marktpartijen kan gekeken worden welke technieken haalbaar/betaalbaar zijn voor bedrijven binnen acceptabele terugbetaal termijnen, welke nog verdere stimulering nodig hebben en waar de uitdagingen liggen om overige technieken toch realistisch te maken. </w:t>
      </w:r>
    </w:p>
    <w:p w14:paraId="121D4824" w14:textId="38F6A7E3" w:rsidR="00C454B7" w:rsidRDefault="00C454B7" w:rsidP="00420B79">
      <w:r>
        <w:t xml:space="preserve">Resultaat module: Plan de campagne voor het uitbreiden van zon-op-dak bij bedrijven. </w:t>
      </w:r>
    </w:p>
    <w:p w14:paraId="703F3EC6" w14:textId="45581582" w:rsidR="00274156" w:rsidRDefault="00274156"/>
    <w:p w14:paraId="5F3E0580" w14:textId="6965E134" w:rsidR="00274156" w:rsidRDefault="00274156"/>
    <w:p w14:paraId="047D82B4" w14:textId="5E0BDBB3" w:rsidR="00274156" w:rsidRDefault="00274156"/>
    <w:p w14:paraId="07F85798" w14:textId="5D451578" w:rsidR="00274156" w:rsidRDefault="00274156"/>
    <w:p w14:paraId="3E557FB9" w14:textId="7111C1F5" w:rsidR="00274156" w:rsidRDefault="00274156"/>
    <w:p w14:paraId="514AC778" w14:textId="3CD31CFD" w:rsidR="00274156" w:rsidRDefault="00274156"/>
    <w:p w14:paraId="0A0BD9F3" w14:textId="03B4F00F" w:rsidR="00274156" w:rsidRDefault="00274156"/>
    <w:p w14:paraId="4F6A2C71" w14:textId="77777777" w:rsidR="00274156" w:rsidRDefault="00274156"/>
    <w:p w14:paraId="567F662A" w14:textId="6FBBE25E" w:rsidR="00274156" w:rsidRPr="00274156" w:rsidRDefault="00274156"/>
    <w:sectPr w:rsidR="00274156" w:rsidRPr="002741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8A476" w14:textId="77777777" w:rsidR="00363153" w:rsidRDefault="00363153" w:rsidP="00F828DF">
      <w:pPr>
        <w:spacing w:after="0" w:line="240" w:lineRule="auto"/>
      </w:pPr>
      <w:r>
        <w:separator/>
      </w:r>
    </w:p>
  </w:endnote>
  <w:endnote w:type="continuationSeparator" w:id="0">
    <w:p w14:paraId="2EE2BAF8" w14:textId="77777777" w:rsidR="00363153" w:rsidRDefault="00363153" w:rsidP="00F828DF">
      <w:pPr>
        <w:spacing w:after="0" w:line="240" w:lineRule="auto"/>
      </w:pPr>
      <w:r>
        <w:continuationSeparator/>
      </w:r>
    </w:p>
  </w:endnote>
  <w:endnote w:id="1">
    <w:p w14:paraId="34DEC279" w14:textId="61EB7213" w:rsidR="00F828DF" w:rsidRDefault="00F828DF">
      <w:pPr>
        <w:pStyle w:val="Eindnoottekst"/>
      </w:pPr>
      <w:r>
        <w:rPr>
          <w:rStyle w:val="Eindnootmarkering"/>
        </w:rPr>
        <w:endnoteRef/>
      </w:r>
      <w:r>
        <w:t xml:space="preserve"> </w:t>
      </w:r>
      <w:r w:rsidRPr="00F828DF">
        <w:rPr>
          <w:i/>
          <w:iCs/>
          <w:sz w:val="16"/>
          <w:szCs w:val="16"/>
        </w:rPr>
        <w:t>Verduurzaming bedrijventerreinen in de Metropoolregio Eindhoven, 19 december 2019 van VNO NCW Brabant- Zeeland (et al.).</w:t>
      </w:r>
    </w:p>
  </w:endnote>
  <w:endnote w:id="2">
    <w:p w14:paraId="37B68D4A" w14:textId="3C8BC9B9" w:rsidR="001F016F" w:rsidRDefault="001F016F">
      <w:pPr>
        <w:pStyle w:val="Eindnoottekst"/>
      </w:pPr>
      <w:r>
        <w:rPr>
          <w:rStyle w:val="Eindnootmarkering"/>
        </w:rPr>
        <w:endnoteRef/>
      </w:r>
      <w:r>
        <w:t xml:space="preserve"> </w:t>
      </w:r>
      <w:r w:rsidRPr="001F016F">
        <w:rPr>
          <w:i/>
          <w:iCs/>
          <w:sz w:val="16"/>
          <w:szCs w:val="16"/>
        </w:rPr>
        <w:t>http://www.aantoonbaarduurzaambouwen.nl/category/gebouwen/gebieden/</w:t>
      </w:r>
    </w:p>
  </w:endnote>
  <w:endnote w:id="3">
    <w:p w14:paraId="11ADE202" w14:textId="2FFDDA1B" w:rsidR="00D10B5F" w:rsidRDefault="00D10B5F">
      <w:pPr>
        <w:pStyle w:val="Eindnoottekst"/>
      </w:pPr>
      <w:r>
        <w:rPr>
          <w:rStyle w:val="Eindnootmarkering"/>
        </w:rPr>
        <w:endnoteRef/>
      </w:r>
      <w:r>
        <w:t xml:space="preserve"> </w:t>
      </w:r>
      <w:r w:rsidRPr="00D10B5F">
        <w:rPr>
          <w:i/>
          <w:iCs/>
          <w:sz w:val="16"/>
          <w:szCs w:val="16"/>
        </w:rPr>
        <w:t>https://www.ondernemersfondshelmond.nl/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D7EBC" w14:textId="77777777" w:rsidR="00363153" w:rsidRDefault="00363153" w:rsidP="00F828DF">
      <w:pPr>
        <w:spacing w:after="0" w:line="240" w:lineRule="auto"/>
      </w:pPr>
      <w:r>
        <w:separator/>
      </w:r>
    </w:p>
  </w:footnote>
  <w:footnote w:type="continuationSeparator" w:id="0">
    <w:p w14:paraId="5AA39443" w14:textId="77777777" w:rsidR="00363153" w:rsidRDefault="00363153" w:rsidP="00F82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2D107F"/>
    <w:multiLevelType w:val="hybridMultilevel"/>
    <w:tmpl w:val="151C22FA"/>
    <w:lvl w:ilvl="0" w:tplc="D242C654">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E84B38"/>
    <w:multiLevelType w:val="hybridMultilevel"/>
    <w:tmpl w:val="C4E8701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56"/>
    <w:rsid w:val="000414B4"/>
    <w:rsid w:val="001F016F"/>
    <w:rsid w:val="00240A1F"/>
    <w:rsid w:val="00273F60"/>
    <w:rsid w:val="00274156"/>
    <w:rsid w:val="002A5967"/>
    <w:rsid w:val="002C1877"/>
    <w:rsid w:val="00363153"/>
    <w:rsid w:val="00383E34"/>
    <w:rsid w:val="003958B8"/>
    <w:rsid w:val="00395B32"/>
    <w:rsid w:val="00420B79"/>
    <w:rsid w:val="00433BCB"/>
    <w:rsid w:val="00471C80"/>
    <w:rsid w:val="00486C0C"/>
    <w:rsid w:val="004A0021"/>
    <w:rsid w:val="00512694"/>
    <w:rsid w:val="00524993"/>
    <w:rsid w:val="00534EBA"/>
    <w:rsid w:val="0066541D"/>
    <w:rsid w:val="006848B1"/>
    <w:rsid w:val="006B1278"/>
    <w:rsid w:val="006D7E1D"/>
    <w:rsid w:val="00746F9A"/>
    <w:rsid w:val="007A2356"/>
    <w:rsid w:val="00852806"/>
    <w:rsid w:val="008B0234"/>
    <w:rsid w:val="008C395A"/>
    <w:rsid w:val="008E6FB9"/>
    <w:rsid w:val="009207FC"/>
    <w:rsid w:val="009219BA"/>
    <w:rsid w:val="00933A5B"/>
    <w:rsid w:val="00A14547"/>
    <w:rsid w:val="00A44F20"/>
    <w:rsid w:val="00AC0034"/>
    <w:rsid w:val="00AD4378"/>
    <w:rsid w:val="00B31480"/>
    <w:rsid w:val="00C41612"/>
    <w:rsid w:val="00C454B7"/>
    <w:rsid w:val="00C61D0B"/>
    <w:rsid w:val="00C729FC"/>
    <w:rsid w:val="00CF7E43"/>
    <w:rsid w:val="00D10B5F"/>
    <w:rsid w:val="00D709C8"/>
    <w:rsid w:val="00DE4FE2"/>
    <w:rsid w:val="00E90657"/>
    <w:rsid w:val="00EB2F68"/>
    <w:rsid w:val="00EE1AD7"/>
    <w:rsid w:val="00F6067F"/>
    <w:rsid w:val="00F66799"/>
    <w:rsid w:val="00F828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A524"/>
  <w15:chartTrackingRefBased/>
  <w15:docId w15:val="{16009AE7-CE8C-4FC3-81AA-4DD872BB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0B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20B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4156"/>
    <w:pPr>
      <w:spacing w:after="0" w:line="260" w:lineRule="atLeast"/>
      <w:ind w:left="284" w:hanging="284"/>
      <w:contextualSpacing/>
    </w:pPr>
    <w:rPr>
      <w:rFonts w:ascii="Arial" w:hAnsi="Arial"/>
      <w:sz w:val="18"/>
      <w:szCs w:val="20"/>
    </w:rPr>
  </w:style>
  <w:style w:type="character" w:customStyle="1" w:styleId="Kop1Char">
    <w:name w:val="Kop 1 Char"/>
    <w:basedOn w:val="Standaardalinea-lettertype"/>
    <w:link w:val="Kop1"/>
    <w:uiPriority w:val="9"/>
    <w:rsid w:val="00420B7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20B79"/>
    <w:rPr>
      <w:rFonts w:asciiTheme="majorHAnsi" w:eastAsiaTheme="majorEastAsia" w:hAnsiTheme="majorHAnsi" w:cstheme="majorBidi"/>
      <w:color w:val="2F5496" w:themeColor="accent1" w:themeShade="BF"/>
      <w:sz w:val="26"/>
      <w:szCs w:val="26"/>
    </w:rPr>
  </w:style>
  <w:style w:type="paragraph" w:styleId="Geenafstand">
    <w:name w:val="No Spacing"/>
    <w:uiPriority w:val="1"/>
    <w:qFormat/>
    <w:rsid w:val="00383E34"/>
    <w:pPr>
      <w:spacing w:after="0" w:line="240" w:lineRule="auto"/>
    </w:pPr>
  </w:style>
  <w:style w:type="paragraph" w:styleId="Eindnoottekst">
    <w:name w:val="endnote text"/>
    <w:basedOn w:val="Standaard"/>
    <w:link w:val="EindnoottekstChar"/>
    <w:uiPriority w:val="99"/>
    <w:semiHidden/>
    <w:unhideWhenUsed/>
    <w:rsid w:val="00F828DF"/>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828DF"/>
    <w:rPr>
      <w:sz w:val="20"/>
      <w:szCs w:val="20"/>
    </w:rPr>
  </w:style>
  <w:style w:type="character" w:styleId="Eindnootmarkering">
    <w:name w:val="endnote reference"/>
    <w:basedOn w:val="Standaardalinea-lettertype"/>
    <w:uiPriority w:val="99"/>
    <w:semiHidden/>
    <w:unhideWhenUsed/>
    <w:rsid w:val="00F828DF"/>
    <w:rPr>
      <w:vertAlign w:val="superscript"/>
    </w:rPr>
  </w:style>
  <w:style w:type="character" w:styleId="Verwijzingopmerking">
    <w:name w:val="annotation reference"/>
    <w:basedOn w:val="Standaardalinea-lettertype"/>
    <w:uiPriority w:val="99"/>
    <w:semiHidden/>
    <w:unhideWhenUsed/>
    <w:rsid w:val="00EE1AD7"/>
    <w:rPr>
      <w:sz w:val="16"/>
      <w:szCs w:val="16"/>
    </w:rPr>
  </w:style>
  <w:style w:type="paragraph" w:styleId="Tekstopmerking">
    <w:name w:val="annotation text"/>
    <w:basedOn w:val="Standaard"/>
    <w:link w:val="TekstopmerkingChar"/>
    <w:uiPriority w:val="99"/>
    <w:semiHidden/>
    <w:unhideWhenUsed/>
    <w:rsid w:val="00EE1A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E1AD7"/>
    <w:rPr>
      <w:sz w:val="20"/>
      <w:szCs w:val="20"/>
    </w:rPr>
  </w:style>
  <w:style w:type="paragraph" w:styleId="Onderwerpvanopmerking">
    <w:name w:val="annotation subject"/>
    <w:basedOn w:val="Tekstopmerking"/>
    <w:next w:val="Tekstopmerking"/>
    <w:link w:val="OnderwerpvanopmerkingChar"/>
    <w:uiPriority w:val="99"/>
    <w:semiHidden/>
    <w:unhideWhenUsed/>
    <w:rsid w:val="00EE1AD7"/>
    <w:rPr>
      <w:b/>
      <w:bCs/>
    </w:rPr>
  </w:style>
  <w:style w:type="character" w:customStyle="1" w:styleId="OnderwerpvanopmerkingChar">
    <w:name w:val="Onderwerp van opmerking Char"/>
    <w:basedOn w:val="TekstopmerkingChar"/>
    <w:link w:val="Onderwerpvanopmerking"/>
    <w:uiPriority w:val="99"/>
    <w:semiHidden/>
    <w:rsid w:val="00EE1AD7"/>
    <w:rPr>
      <w:b/>
      <w:bCs/>
      <w:sz w:val="20"/>
      <w:szCs w:val="20"/>
    </w:rPr>
  </w:style>
  <w:style w:type="paragraph" w:styleId="Ballontekst">
    <w:name w:val="Balloon Text"/>
    <w:basedOn w:val="Standaard"/>
    <w:link w:val="BallontekstChar"/>
    <w:uiPriority w:val="99"/>
    <w:semiHidden/>
    <w:unhideWhenUsed/>
    <w:rsid w:val="00EE1A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E1AD7"/>
    <w:rPr>
      <w:rFonts w:ascii="Segoe UI" w:hAnsi="Segoe UI" w:cs="Segoe UI"/>
      <w:sz w:val="18"/>
      <w:szCs w:val="18"/>
    </w:rPr>
  </w:style>
  <w:style w:type="paragraph" w:styleId="Voetnoottekst">
    <w:name w:val="footnote text"/>
    <w:basedOn w:val="Standaard"/>
    <w:link w:val="VoetnoottekstChar"/>
    <w:uiPriority w:val="99"/>
    <w:semiHidden/>
    <w:unhideWhenUsed/>
    <w:rsid w:val="001F01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F016F"/>
    <w:rPr>
      <w:sz w:val="20"/>
      <w:szCs w:val="20"/>
    </w:rPr>
  </w:style>
  <w:style w:type="character" w:styleId="Voetnootmarkering">
    <w:name w:val="footnote reference"/>
    <w:basedOn w:val="Standaardalinea-lettertype"/>
    <w:uiPriority w:val="99"/>
    <w:semiHidden/>
    <w:unhideWhenUsed/>
    <w:rsid w:val="001F016F"/>
    <w:rPr>
      <w:vertAlign w:val="superscript"/>
    </w:rPr>
  </w:style>
  <w:style w:type="character" w:styleId="Hyperlink">
    <w:name w:val="Hyperlink"/>
    <w:basedOn w:val="Standaardalinea-lettertype"/>
    <w:uiPriority w:val="99"/>
    <w:unhideWhenUsed/>
    <w:rsid w:val="00D10B5F"/>
    <w:rPr>
      <w:color w:val="0563C1" w:themeColor="hyperlink"/>
      <w:u w:val="single"/>
    </w:rPr>
  </w:style>
  <w:style w:type="character" w:styleId="Onopgelostemelding">
    <w:name w:val="Unresolved Mention"/>
    <w:basedOn w:val="Standaardalinea-lettertype"/>
    <w:uiPriority w:val="99"/>
    <w:semiHidden/>
    <w:unhideWhenUsed/>
    <w:rsid w:val="00D10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5BBEB-5146-4E38-B54C-E9B4FAC9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2455</Words>
  <Characters>13507</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Rieter</dc:creator>
  <cp:keywords/>
  <dc:description/>
  <cp:lastModifiedBy>Ingrid Verhagen | Groep 5700</cp:lastModifiedBy>
  <cp:revision>2</cp:revision>
  <dcterms:created xsi:type="dcterms:W3CDTF">2021-04-15T12:56:00Z</dcterms:created>
  <dcterms:modified xsi:type="dcterms:W3CDTF">2021-04-15T12:56:00Z</dcterms:modified>
</cp:coreProperties>
</file>